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6"/>
        <w:gridCol w:w="8"/>
        <w:gridCol w:w="1747"/>
        <w:gridCol w:w="790"/>
        <w:gridCol w:w="47"/>
        <w:gridCol w:w="947"/>
        <w:gridCol w:w="326"/>
        <w:gridCol w:w="965"/>
        <w:gridCol w:w="88"/>
        <w:gridCol w:w="766"/>
        <w:gridCol w:w="522"/>
        <w:gridCol w:w="197"/>
        <w:gridCol w:w="723"/>
        <w:gridCol w:w="592"/>
      </w:tblGrid>
      <w:tr w:rsidR="00E72FB4" w:rsidRPr="00E72FB4" w14:paraId="2E89E348" w14:textId="77777777" w:rsidTr="6D3EC63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5A5A21" w:rsidRPr="00E72FB4" w:rsidRDefault="005A5A21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B4A91A8" w14:textId="77777777" w:rsidR="005A5A21" w:rsidRPr="00E72FB4" w:rsidRDefault="005A5A21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sustav</w:t>
            </w:r>
          </w:p>
        </w:tc>
      </w:tr>
      <w:tr w:rsidR="00E72FB4" w:rsidRPr="00E72FB4" w14:paraId="5E533184" w14:textId="77777777" w:rsidTr="6D3EC63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5A5A21" w:rsidRPr="00E72FB4" w:rsidRDefault="005A5A21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E72FB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A77BE5" w14:textId="77777777" w:rsidR="005A5A21" w:rsidRPr="00352501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2501">
              <w:rPr>
                <w:rFonts w:ascii="Arial" w:hAnsi="Arial" w:cs="Arial"/>
                <w:color w:val="000000" w:themeColor="text1"/>
                <w:sz w:val="20"/>
                <w:szCs w:val="20"/>
              </w:rPr>
              <w:t>EUB411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5A5A21" w:rsidRPr="00E72FB4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5A5A21" w:rsidRPr="00E72FB4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E72FB4" w:rsidRPr="00E72FB4" w14:paraId="7BEDDD7C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5D207" w14:textId="6EC77459" w:rsidR="002176CE" w:rsidRPr="00E72FB4" w:rsidRDefault="0051737C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="006223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rof. </w:t>
            </w:r>
            <w:r w:rsidR="002176CE"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dr. sc. Ana Rimac Smiljanić</w:t>
            </w:r>
          </w:p>
          <w:p w14:paraId="769E7138" w14:textId="1004CBC8" w:rsidR="002176CE" w:rsidRPr="00E72FB4" w:rsidRDefault="006223AC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</w:t>
            </w:r>
            <w:r w:rsidR="002176CE"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dr. sc.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E72FB4" w:rsidRPr="00E72FB4" w14:paraId="184A2F69" w14:textId="77777777" w:rsidTr="6D3EC63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E72FB4" w:rsidRPr="00E72FB4" w14:paraId="38C17824" w14:textId="77777777" w:rsidTr="6D3EC63E">
        <w:trPr>
          <w:trHeight w:val="42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5F721A52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2409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2176CE" w:rsidRPr="00E72FB4" w:rsidRDefault="002176CE" w:rsidP="00E72FB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E72FB4" w:rsidRPr="00E72FB4" w14:paraId="7AE32C00" w14:textId="77777777" w:rsidTr="6D3EC63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E72FB4" w:rsidRPr="00E72FB4" w14:paraId="46950140" w14:textId="77777777" w:rsidTr="6D3EC6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4425B3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teorijska i empirijska znanja iz funkcioniranja financijskog sustava.</w:t>
            </w:r>
          </w:p>
          <w:p w14:paraId="41C8F39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5124B65A" w14:textId="77777777" w:rsidTr="6D3EC6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44CD6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financijskim institucijama i tržištima.</w:t>
            </w:r>
          </w:p>
          <w:p w14:paraId="72A3D3E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0EC48956" w14:textId="77777777" w:rsidTr="6D3EC63E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4291074" w14:textId="77777777" w:rsidR="002176CE" w:rsidRPr="00E72FB4" w:rsidRDefault="002176CE" w:rsidP="002176CE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i upravljati financijskim odlukama na makroekonomskoj i mikroekonomskoj razini s obzirom na promjene unutar financijskog sustava  (7. razina)</w:t>
            </w:r>
          </w:p>
          <w:p w14:paraId="0D0B940D" w14:textId="77777777" w:rsidR="002176CE" w:rsidRPr="00BE15D4" w:rsidRDefault="002176CE" w:rsidP="002176CE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2176CE" w:rsidRPr="00BE15D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0BE4A57F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BE15D4"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  <w:t>Kritički prosuditi razvitak financijskog sustava i njegov utjecaj na mogućnosti financiranja gospodarskih subjekata</w:t>
            </w:r>
          </w:p>
          <w:p w14:paraId="51E42085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Preispitati promjene u bankovnim sustavima tranzicijskih zemalja i njihove posljedice na mogućnosti financiranja gospodarskih subjekata</w:t>
            </w:r>
          </w:p>
          <w:p w14:paraId="27CE1DFE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Kritički prosuditi događanja na tržištima imovina i ponašanja gospodarskih sudionika na pojavu financijske (ne)stabilnosti</w:t>
            </w:r>
          </w:p>
          <w:p w14:paraId="39CA6520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događanja u financijskom sustavu na financijsku poziciju stanovništva</w:t>
            </w:r>
          </w:p>
          <w:p w14:paraId="0E27B00A" w14:textId="77777777" w:rsidR="002176CE" w:rsidRPr="00E72FB4" w:rsidRDefault="002176CE" w:rsidP="002176CE">
            <w:pPr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2490D4F9" w14:textId="77777777" w:rsidTr="6D3EC63E">
        <w:trPr>
          <w:trHeight w:val="4726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217C4A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0061E4C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B0818" w14:textId="77777777"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F31CB" w14:textId="77777777"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28261" w14:textId="40D98305" w:rsidR="008B1F2D" w:rsidRDefault="008B1F2D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841CDF" w14:textId="77777777" w:rsidR="002176CE" w:rsidRPr="008B1F2D" w:rsidRDefault="002176CE" w:rsidP="008B1F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78"/>
              <w:gridCol w:w="561"/>
              <w:gridCol w:w="3018"/>
              <w:gridCol w:w="561"/>
            </w:tblGrid>
            <w:tr w:rsidR="00E72FB4" w:rsidRPr="00E72FB4" w14:paraId="76DEB55B" w14:textId="77777777" w:rsidTr="00DE13CC">
              <w:tc>
                <w:tcPr>
                  <w:tcW w:w="0" w:type="auto"/>
                  <w:gridSpan w:val="2"/>
                </w:tcPr>
                <w:p w14:paraId="1A9F542B" w14:textId="77777777" w:rsidR="002176CE" w:rsidRPr="00E72FB4" w:rsidRDefault="002176CE" w:rsidP="002176CE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0" w:type="auto"/>
                  <w:gridSpan w:val="2"/>
                </w:tcPr>
                <w:p w14:paraId="5460633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E72FB4" w:rsidRPr="00E72FB4" w14:paraId="77BD858E" w14:textId="77777777" w:rsidTr="00DE13CC">
              <w:tc>
                <w:tcPr>
                  <w:tcW w:w="0" w:type="auto"/>
                </w:tcPr>
                <w:p w14:paraId="31D8EC91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14:paraId="4F602B9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14:paraId="486D2080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14:paraId="144C948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E72FB4" w:rsidRPr="00E72FB4" w14:paraId="425C41BD" w14:textId="77777777" w:rsidTr="00DE13CC">
              <w:trPr>
                <w:trHeight w:val="287"/>
              </w:trPr>
              <w:tc>
                <w:tcPr>
                  <w:tcW w:w="0" w:type="auto"/>
                  <w:vAlign w:val="center"/>
                </w:tcPr>
                <w:p w14:paraId="40DCB1EB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14:paraId="7144751B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71432501" w14:textId="77777777" w:rsidR="002176CE" w:rsidRPr="00E72FB4" w:rsidRDefault="002176CE" w:rsidP="00DC35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14:paraId="78E884CA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459C17A1" w14:textId="77777777" w:rsidTr="00DE13CC">
              <w:tc>
                <w:tcPr>
                  <w:tcW w:w="0" w:type="auto"/>
                  <w:vAlign w:val="center"/>
                </w:tcPr>
                <w:p w14:paraId="7998A6AE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Financije i rast</w:t>
                  </w:r>
                </w:p>
              </w:tc>
              <w:tc>
                <w:tcPr>
                  <w:tcW w:w="0" w:type="auto"/>
                </w:tcPr>
                <w:p w14:paraId="7842F596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5CFD064" w14:textId="77777777" w:rsidR="002176CE" w:rsidRPr="00E72FB4" w:rsidRDefault="002176CE" w:rsidP="00DC35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Financije i rast</w:t>
                  </w:r>
                </w:p>
              </w:tc>
              <w:tc>
                <w:tcPr>
                  <w:tcW w:w="0" w:type="auto"/>
                </w:tcPr>
                <w:p w14:paraId="2CC21B90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32266" w:rsidRPr="00E72FB4" w14:paraId="0C4C323B" w14:textId="77777777" w:rsidTr="00DE13CC">
              <w:trPr>
                <w:cantSplit/>
                <w:trHeight w:hRule="exact" w:val="517"/>
              </w:trPr>
              <w:tc>
                <w:tcPr>
                  <w:tcW w:w="0" w:type="auto"/>
                  <w:vAlign w:val="center"/>
                </w:tcPr>
                <w:p w14:paraId="565670D5" w14:textId="118C5348" w:rsidR="00A32266" w:rsidRPr="008B1F2D" w:rsidRDefault="00A32266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B1F2D">
                    <w:rPr>
                      <w:rFonts w:ascii="Arial" w:hAnsi="Arial" w:cs="Arial"/>
                      <w:sz w:val="20"/>
                      <w:szCs w:val="20"/>
                    </w:rPr>
                    <w:t>Financije i održivost</w:t>
                  </w:r>
                </w:p>
              </w:tc>
              <w:tc>
                <w:tcPr>
                  <w:tcW w:w="0" w:type="auto"/>
                </w:tcPr>
                <w:p w14:paraId="4D336E06" w14:textId="77777777" w:rsidR="00A32266" w:rsidRPr="008B1F2D" w:rsidRDefault="00A32266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910C36E" w14:textId="174C26CB" w:rsidR="00A32266" w:rsidRPr="008B1F2D" w:rsidRDefault="00A32266" w:rsidP="00DC35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B1F2D">
                    <w:rPr>
                      <w:rFonts w:ascii="Arial" w:hAnsi="Arial" w:cs="Arial"/>
                      <w:sz w:val="20"/>
                      <w:szCs w:val="20"/>
                    </w:rPr>
                    <w:t>Financije i održivost</w:t>
                  </w:r>
                </w:p>
              </w:tc>
              <w:tc>
                <w:tcPr>
                  <w:tcW w:w="0" w:type="auto"/>
                </w:tcPr>
                <w:p w14:paraId="23263857" w14:textId="77777777" w:rsidR="00A32266" w:rsidRPr="00E72FB4" w:rsidRDefault="00A32266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E72FB4" w:rsidRPr="00E72FB4" w14:paraId="0509205C" w14:textId="77777777" w:rsidTr="00DE13CC">
              <w:trPr>
                <w:cantSplit/>
                <w:trHeight w:hRule="exact" w:val="517"/>
              </w:trPr>
              <w:tc>
                <w:tcPr>
                  <w:tcW w:w="0" w:type="auto"/>
                  <w:vAlign w:val="center"/>
                </w:tcPr>
                <w:p w14:paraId="5525FAF3" w14:textId="77777777" w:rsidR="002176CE" w:rsidRPr="008B1F2D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B1F2D">
                    <w:rPr>
                      <w:rFonts w:ascii="Arial" w:hAnsi="Arial" w:cs="Arial"/>
                      <w:sz w:val="20"/>
                      <w:szCs w:val="20"/>
                    </w:rPr>
                    <w:t>Vrsta financijskih sustava</w:t>
                  </w:r>
                </w:p>
              </w:tc>
              <w:tc>
                <w:tcPr>
                  <w:tcW w:w="0" w:type="auto"/>
                </w:tcPr>
                <w:p w14:paraId="138328F9" w14:textId="77777777" w:rsidR="002176CE" w:rsidRPr="008B1F2D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B1F2D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1C0D0B0" w14:textId="77777777" w:rsidR="002176CE" w:rsidRPr="008B1F2D" w:rsidRDefault="002176CE" w:rsidP="00DC35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B1F2D">
                    <w:rPr>
                      <w:rFonts w:ascii="Arial" w:hAnsi="Arial" w:cs="Arial"/>
                      <w:sz w:val="20"/>
                      <w:szCs w:val="20"/>
                    </w:rPr>
                    <w:t>Vrsta financijskih sustava</w:t>
                  </w:r>
                </w:p>
              </w:tc>
              <w:tc>
                <w:tcPr>
                  <w:tcW w:w="0" w:type="auto"/>
                </w:tcPr>
                <w:p w14:paraId="54B6C890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70DBDCE5" w14:textId="77777777" w:rsidTr="00DE13CC">
              <w:tc>
                <w:tcPr>
                  <w:tcW w:w="0" w:type="auto"/>
                  <w:vAlign w:val="center"/>
                </w:tcPr>
                <w:p w14:paraId="5A1AF9D4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Konkurencija, efikasnost i stabilnost bankarskih sustava</w:t>
                  </w:r>
                </w:p>
              </w:tc>
              <w:tc>
                <w:tcPr>
                  <w:tcW w:w="0" w:type="auto"/>
                </w:tcPr>
                <w:p w14:paraId="58A8CB7E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2E5B9A4" w14:textId="77777777" w:rsidR="002176CE" w:rsidRPr="00E72FB4" w:rsidRDefault="002176CE" w:rsidP="00DC35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Konkurencija, efikasnost i stabilnost bankarskih sustava</w:t>
                  </w:r>
                </w:p>
              </w:tc>
              <w:tc>
                <w:tcPr>
                  <w:tcW w:w="0" w:type="auto"/>
                </w:tcPr>
                <w:p w14:paraId="2E643A3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4951EB6E" w14:textId="77777777" w:rsidTr="00DE13CC">
              <w:trPr>
                <w:trHeight w:val="132"/>
              </w:trPr>
              <w:tc>
                <w:tcPr>
                  <w:tcW w:w="0" w:type="auto"/>
                </w:tcPr>
                <w:p w14:paraId="63BCA8E5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Izravna inozemna ulaganja u bankarstvo</w:t>
                  </w:r>
                </w:p>
              </w:tc>
              <w:tc>
                <w:tcPr>
                  <w:tcW w:w="0" w:type="auto"/>
                </w:tcPr>
                <w:p w14:paraId="5A9DB5E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ED380FF" w14:textId="77777777" w:rsidR="002176CE" w:rsidRPr="00E72FB4" w:rsidRDefault="002176CE" w:rsidP="00DC35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Izravna inozemna ulaganja u bankarstvo</w:t>
                  </w:r>
                </w:p>
              </w:tc>
              <w:tc>
                <w:tcPr>
                  <w:tcW w:w="0" w:type="auto"/>
                </w:tcPr>
                <w:p w14:paraId="1BC03362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0DF0B106" w14:textId="77777777" w:rsidTr="00DE13CC">
              <w:tc>
                <w:tcPr>
                  <w:tcW w:w="0" w:type="auto"/>
                  <w:vAlign w:val="center"/>
                </w:tcPr>
                <w:p w14:paraId="5702D32D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Državno vlasništvo, državne banke i privatizacije banaka</w:t>
                  </w:r>
                </w:p>
              </w:tc>
              <w:tc>
                <w:tcPr>
                  <w:tcW w:w="0" w:type="auto"/>
                </w:tcPr>
                <w:p w14:paraId="24DED8E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0149529" w14:textId="77777777" w:rsidR="002176CE" w:rsidRPr="00E72FB4" w:rsidRDefault="002176CE" w:rsidP="00DC35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Državno vlasništvo, državne banke i privatizacije banaka</w:t>
                  </w:r>
                </w:p>
              </w:tc>
              <w:tc>
                <w:tcPr>
                  <w:tcW w:w="0" w:type="auto"/>
                </w:tcPr>
                <w:p w14:paraId="1D63D2B4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194C5EC7" w14:textId="77777777" w:rsidTr="00DE13CC">
              <w:tc>
                <w:tcPr>
                  <w:tcW w:w="0" w:type="auto"/>
                  <w:vAlign w:val="center"/>
                </w:tcPr>
                <w:p w14:paraId="70DAD7D2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Bankarske i financijske krize</w:t>
                  </w:r>
                </w:p>
              </w:tc>
              <w:tc>
                <w:tcPr>
                  <w:tcW w:w="0" w:type="auto"/>
                </w:tcPr>
                <w:p w14:paraId="18B4C29E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BEA4040" w14:textId="1193C3BC" w:rsidR="002176CE" w:rsidRPr="00DC3548" w:rsidRDefault="002176CE" w:rsidP="00DC35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C354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Bankarske i financijske krize</w:t>
                  </w:r>
                </w:p>
              </w:tc>
              <w:tc>
                <w:tcPr>
                  <w:tcW w:w="0" w:type="auto"/>
                </w:tcPr>
                <w:p w14:paraId="6DEB9483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6F9F01EA" w14:textId="77777777" w:rsidTr="00DE13CC">
              <w:tc>
                <w:tcPr>
                  <w:tcW w:w="0" w:type="auto"/>
                  <w:vAlign w:val="center"/>
                </w:tcPr>
                <w:p w14:paraId="3CBE1B39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Osiguranje depozita i krize</w:t>
                  </w:r>
                </w:p>
              </w:tc>
              <w:tc>
                <w:tcPr>
                  <w:tcW w:w="0" w:type="auto"/>
                </w:tcPr>
                <w:p w14:paraId="7FC42638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0D0797F" w14:textId="77777777" w:rsidR="002176CE" w:rsidRPr="00E72FB4" w:rsidRDefault="002176CE" w:rsidP="00DC35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Osiguranje depozita i krize</w:t>
                  </w:r>
                </w:p>
              </w:tc>
              <w:tc>
                <w:tcPr>
                  <w:tcW w:w="0" w:type="auto"/>
                </w:tcPr>
                <w:p w14:paraId="46783CDB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3ABDBB60" w14:textId="77777777" w:rsidTr="00DE13CC">
              <w:tc>
                <w:tcPr>
                  <w:tcW w:w="0" w:type="auto"/>
                  <w:vAlign w:val="center"/>
                </w:tcPr>
                <w:p w14:paraId="6C4B0108" w14:textId="77777777" w:rsidR="002176CE" w:rsidRPr="00E72FB4" w:rsidRDefault="002176CE" w:rsidP="00DC3548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dionica i novih financijskih instrumenata</w:t>
                  </w:r>
                </w:p>
              </w:tc>
              <w:tc>
                <w:tcPr>
                  <w:tcW w:w="0" w:type="auto"/>
                </w:tcPr>
                <w:p w14:paraId="5B89603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B05829C" w14:textId="77777777" w:rsidR="002176CE" w:rsidRPr="00E72FB4" w:rsidRDefault="002176CE" w:rsidP="00DC35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dionica i novih financijskih instrumenata</w:t>
                  </w:r>
                </w:p>
              </w:tc>
              <w:tc>
                <w:tcPr>
                  <w:tcW w:w="0" w:type="auto"/>
                </w:tcPr>
                <w:p w14:paraId="0E86812A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7D26FD6D" w14:textId="77777777" w:rsidTr="00DE13CC">
              <w:trPr>
                <w:trHeight w:val="313"/>
              </w:trPr>
              <w:tc>
                <w:tcPr>
                  <w:tcW w:w="0" w:type="auto"/>
                  <w:vAlign w:val="center"/>
                </w:tcPr>
                <w:p w14:paraId="38CA4410" w14:textId="77777777" w:rsidR="002176CE" w:rsidRPr="00E72FB4" w:rsidRDefault="002176CE" w:rsidP="00DC3548">
                  <w:pPr>
                    <w:numPr>
                      <w:ilvl w:val="0"/>
                      <w:numId w:val="4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pismenost stanovništva</w:t>
                  </w:r>
                </w:p>
              </w:tc>
              <w:tc>
                <w:tcPr>
                  <w:tcW w:w="0" w:type="auto"/>
                </w:tcPr>
                <w:p w14:paraId="55CCB594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B65B69C" w14:textId="77777777" w:rsidR="002176CE" w:rsidRPr="00E72FB4" w:rsidRDefault="002176CE" w:rsidP="00DC3548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pismenost stanovništva</w:t>
                  </w:r>
                </w:p>
              </w:tc>
              <w:tc>
                <w:tcPr>
                  <w:tcW w:w="0" w:type="auto"/>
                </w:tcPr>
                <w:p w14:paraId="31A2C4CD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17FACF19" w14:textId="77777777" w:rsidTr="000B6D73">
              <w:trPr>
                <w:cantSplit/>
                <w:trHeight w:hRule="exact" w:val="1332"/>
              </w:trPr>
              <w:tc>
                <w:tcPr>
                  <w:tcW w:w="0" w:type="auto"/>
                  <w:vAlign w:val="center"/>
                </w:tcPr>
                <w:p w14:paraId="263C25A6" w14:textId="77777777" w:rsidR="002176CE" w:rsidRPr="00E72FB4" w:rsidRDefault="002176CE" w:rsidP="00DC3548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Ciklusi u cijenama nekretnina, zaduženost privatnih sektora i financijska stabilnost</w:t>
                  </w:r>
                </w:p>
              </w:tc>
              <w:tc>
                <w:tcPr>
                  <w:tcW w:w="0" w:type="auto"/>
                </w:tcPr>
                <w:p w14:paraId="78E1534E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0CAD4EA" w14:textId="6FE3331F" w:rsidR="002176CE" w:rsidRPr="00E72FB4" w:rsidRDefault="002176CE" w:rsidP="002176C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Ciklusi u cijenama nekretnina, zaduženost privatnih sektora i financijska stabilnost</w:t>
                  </w:r>
                </w:p>
              </w:tc>
              <w:tc>
                <w:tcPr>
                  <w:tcW w:w="0" w:type="auto"/>
                </w:tcPr>
                <w:p w14:paraId="231CE365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3BDB4FBC" w14:textId="77777777" w:rsidTr="000B6D73">
              <w:trPr>
                <w:trHeight w:val="186"/>
              </w:trPr>
              <w:tc>
                <w:tcPr>
                  <w:tcW w:w="0" w:type="auto"/>
                  <w:vAlign w:val="center"/>
                </w:tcPr>
                <w:p w14:paraId="4F53C951" w14:textId="77777777" w:rsidR="002176CE" w:rsidRPr="00E72FB4" w:rsidRDefault="002176CE" w:rsidP="00DC3548">
                  <w:pPr>
                    <w:numPr>
                      <w:ilvl w:val="0"/>
                      <w:numId w:val="4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14:paraId="0F8B1BD1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CA1B55B" w14:textId="77777777" w:rsidR="002176CE" w:rsidRPr="00E72FB4" w:rsidRDefault="002176CE" w:rsidP="00DC354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14:paraId="23BD66DB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2486C05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56CAF918" w14:textId="77777777" w:rsidTr="6D3EC63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76ECD13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14:paraId="2EE02E77" w14:textId="77777777"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B8167F0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E72FB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79E036D2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72FB4" w:rsidRPr="00E72FB4" w14:paraId="4101652C" w14:textId="77777777" w:rsidTr="6D3EC63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72FB4" w:rsidRPr="00E72FB4" w14:paraId="50282D30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1D779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E1180D9" w14:textId="5466469F" w:rsidR="00BE3D80" w:rsidRPr="00E72FB4" w:rsidRDefault="0054655F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su dužni aktivno sudjelovati u nastavi. </w:t>
            </w:r>
            <w:r w:rsidRPr="00BE15D4">
              <w:rPr>
                <w:rFonts w:ascii="Arial" w:hAnsi="Arial" w:cs="Arial"/>
                <w:sz w:val="20"/>
                <w:szCs w:val="20"/>
              </w:rPr>
              <w:t xml:space="preserve">Aktivnost predstavlja obavezan dolazak na 50% predviđene nastave te pretpostavlja izlaganje individualnih i grupnih zadataka te sudjelovanje u praktičnim vježbama i raspravama. Aktivnost studenta pratit će se kroz i  </w:t>
            </w:r>
            <w:proofErr w:type="spellStart"/>
            <w:r w:rsidRPr="00BE15D4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BE15D4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</w:t>
            </w:r>
            <w:r w:rsidR="00E524CD">
              <w:rPr>
                <w:rFonts w:ascii="Arial" w:hAnsi="Arial" w:cs="Arial"/>
                <w:sz w:val="20"/>
                <w:szCs w:val="20"/>
              </w:rPr>
              <w:t>predmeta unutar platforme Merlin</w:t>
            </w:r>
            <w:r w:rsidRPr="00BE15D4">
              <w:rPr>
                <w:rFonts w:ascii="Arial" w:hAnsi="Arial" w:cs="Arial"/>
                <w:sz w:val="20"/>
                <w:szCs w:val="20"/>
              </w:rPr>
              <w:t xml:space="preserve">. Studenti moraju pristupiti na 3 </w:t>
            </w:r>
            <w:proofErr w:type="spellStart"/>
            <w:r w:rsidRPr="00BE15D4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BE15D4">
              <w:rPr>
                <w:rFonts w:ascii="Arial" w:hAnsi="Arial" w:cs="Arial"/>
                <w:sz w:val="20"/>
                <w:szCs w:val="20"/>
              </w:rPr>
              <w:t xml:space="preserve"> testa i prezentirati referat na nastavi, u protivnom će im biti uskraćen potpis. Uz to 50% dolazaka na nastavu je uvijte za ostvarenje prava na potpis.  Uvjet za pristupanje ispitu je potpis</w:t>
            </w:r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BE3D80" w:rsidRPr="00E72FB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14:paraId="3CF2D8B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4633CAC6" w14:textId="77777777" w:rsidTr="6D3EC63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E72FB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72FB4" w:rsidRPr="00E72FB4" w14:paraId="6D76A053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7AEA76" w14:textId="77777777" w:rsidR="002176CE" w:rsidRPr="00E72FB4" w:rsidRDefault="002176CE" w:rsidP="002176CE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2176CE" w:rsidRPr="00E72FB4" w:rsidRDefault="002176CE" w:rsidP="002176CE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E72FB4" w:rsidRPr="00E72FB4" w14:paraId="40799739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7868699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 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B4FD0" w14:textId="77777777"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,5*</w:t>
            </w:r>
          </w:p>
        </w:tc>
      </w:tr>
      <w:tr w:rsidR="00E72FB4" w:rsidRPr="00E72FB4" w14:paraId="37D5D135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4CE0A41" w14:textId="77777777" w:rsidR="002176CE" w:rsidRPr="00E72FB4" w:rsidRDefault="002176CE" w:rsidP="00BE3D8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5F0D19A2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8A12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4951A6D2" w14:textId="77777777" w:rsidTr="6D3EC6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2176CE" w:rsidRPr="00E72FB4" w:rsidRDefault="002176CE" w:rsidP="002176C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85A69C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provjere znanja putem dva usmena kolokvija. * Samo studenti koji su na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testovima, koji prethode, kolokviju ostvarili 60% mogu pristupiti usmenom kolokviju. Polaganje oba kolokvija zamjenjuje završni ispit. Studenti na kraju semestra, prije usmenog ispita, pišu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samoevaluaciji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 i pristupaju usmenom ispitu. Kolokvij i ispit se smatra položenim ukoliko student ostvari više od 60% točnih odgovora. </w:t>
            </w:r>
          </w:p>
          <w:p w14:paraId="2946DB82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E1BE0A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Bodovni pragovi i odgovarajuće ocjene za pisane provjere znanja:</w:t>
            </w:r>
          </w:p>
          <w:p w14:paraId="7D7A08B2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14:paraId="46C8DCF2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14:paraId="605E4425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14:paraId="621DACF5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14:paraId="25F8D2C8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14:paraId="5997CC1D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09B856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 provjerama. Navedeno pravilo se odnosi samo na studente koji u pisanim provjerama ostvare pozitivnu ocjenu (60% i više).</w:t>
            </w:r>
          </w:p>
          <w:p w14:paraId="110FFD37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10742E4A" w14:textId="77777777" w:rsidTr="6D3EC63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2176CE" w:rsidRPr="00E72FB4" w:rsidRDefault="002176CE" w:rsidP="002176C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E72FB4" w:rsidRPr="00E72FB4" w14:paraId="225959A2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FABF49" w14:textId="779F4A92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Autorizirana predavanja</w:t>
            </w:r>
            <w:r w:rsidR="00E524C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i nastavni materijali na Merlin</w:t>
            </w:r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BD06CE9" w:rsidR="002176CE" w:rsidRPr="00E72FB4" w:rsidRDefault="00E524CD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Merlin</w:t>
            </w:r>
          </w:p>
        </w:tc>
      </w:tr>
      <w:tr w:rsidR="00E72FB4" w:rsidRPr="00E72FB4" w14:paraId="3409B64F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CE6F91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315EF940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B9E25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50B193A6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4CD1B3A8" w14:textId="77777777" w:rsidTr="6D3EC63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1D31046F" w14:textId="77777777" w:rsidTr="6D3EC63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0564AC8D" w14:textId="77777777" w:rsidTr="6D3EC63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30EF7DC8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46A1" w:rsidRPr="00E72FB4" w14:paraId="195951FF" w14:textId="77777777" w:rsidTr="6D3EC63E">
        <w:trPr>
          <w:trHeight w:hRule="exact" w:val="29071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CD46A1" w:rsidRPr="008B1F2D" w:rsidRDefault="00CD46A1" w:rsidP="00CD46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B1F2D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14:paraId="6537F28F" w14:textId="77777777" w:rsidR="00CD46A1" w:rsidRPr="008B1F2D" w:rsidRDefault="00CD46A1" w:rsidP="00CD46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86E573" w14:textId="356FB869" w:rsidR="00DC3548" w:rsidRDefault="00DC3548" w:rsidP="00A3226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proofErr w:type="spellStart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Mrnjavac</w:t>
            </w:r>
            <w:proofErr w:type="spellEnd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Ž., </w:t>
            </w:r>
            <w:proofErr w:type="spellStart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Bulog</w:t>
            </w:r>
            <w:proofErr w:type="spellEnd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I., Rimac-Smiljanić, A., &amp; Pepur, S. (2024). </w:t>
            </w:r>
            <w:proofErr w:type="spellStart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The</w:t>
            </w:r>
            <w:proofErr w:type="spellEnd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Role </w:t>
            </w:r>
            <w:proofErr w:type="spellStart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of</w:t>
            </w:r>
            <w:proofErr w:type="spellEnd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Financial </w:t>
            </w:r>
            <w:proofErr w:type="spellStart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Literacy</w:t>
            </w:r>
            <w:proofErr w:type="spellEnd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and</w:t>
            </w:r>
            <w:proofErr w:type="spellEnd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Self-Efficacy</w:t>
            </w:r>
            <w:proofErr w:type="spellEnd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in</w:t>
            </w:r>
            <w:proofErr w:type="spellEnd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Household</w:t>
            </w:r>
            <w:proofErr w:type="spellEnd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Over-indebtedness</w:t>
            </w:r>
            <w:proofErr w:type="spellEnd"/>
            <w:r w:rsidRPr="00DC3548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. Revija za socijalnu politiku, 31(2), 165-178</w:t>
            </w:r>
            <w:r w:rsidRPr="00DC3548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</w:p>
          <w:p w14:paraId="01E97393" w14:textId="13A7F5A1" w:rsidR="00A32266" w:rsidRPr="008B1F2D" w:rsidRDefault="00A32266" w:rsidP="00A3226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CFA Institute (2024).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Certificate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in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ESG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Investing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curriculum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2024, CFA Institute.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Charlottesville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</w:p>
          <w:p w14:paraId="092F9C5D" w14:textId="74038433" w:rsidR="00A32266" w:rsidRPr="008B1F2D" w:rsidRDefault="00A32266" w:rsidP="00A3226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Škrabić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Perić, B., Rimac Smiljanić, A., &amp; Mravak, I. (2024). Uloga kvalitete institucija i financijske pismenosti u prihvaćanju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kriptovaluta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Croatian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Review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Economic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Business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Social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Statistics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, 10(1), 43–56. https://doi.org/10.62366/crebss.2024.1.004</w:t>
            </w:r>
          </w:p>
          <w:p w14:paraId="4F43DFC9" w14:textId="049953C7" w:rsidR="00F64276" w:rsidRPr="008B1F2D" w:rsidRDefault="00F64276" w:rsidP="00F6427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Pepur, S.,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Bulog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, I., Smiljanić, A. R. (2022).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Household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Financial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Fragility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During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COVID-19: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Power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Financially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Literate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Women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Zagreb International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Review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Economics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Business, vol.25, no.s1, 3922, pp.31-44. https://doi.org/10.2478/zireb-2022-0023</w:t>
            </w:r>
          </w:p>
          <w:p w14:paraId="79ED085E" w14:textId="77777777" w:rsidR="00F64276" w:rsidRPr="008B1F2D" w:rsidRDefault="00F64276" w:rsidP="00F6427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Škrabić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Perić, B., Rimac Smiljanić, A., Jerković, I. (2023).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Crypto-asset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market development: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role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country’s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institutional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quality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Journal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Money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Laundering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Control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Vol.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ahead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-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-print No.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ahead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-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-print, https://doi.org/10.1108/JMLC-02-2023-0038</w:t>
            </w:r>
          </w:p>
          <w:p w14:paraId="69B138A1" w14:textId="77777777" w:rsidR="00F64276" w:rsidRPr="008B1F2D" w:rsidRDefault="00F64276" w:rsidP="00F6427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Škrabić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Perić, B., Smiljanić Rimac, A.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Derivatives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Markets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Development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Country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Political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Risk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Proceedings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16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International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Symposium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on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Operational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Research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in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Slovenia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SOR'21,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Drobne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S.,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Zadnik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Stirn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L.,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Kljajić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Borštnar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M.,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Povh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J.,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Žerovnik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, J. (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.). Ljubljana: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Slovenian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Society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INFORMATIKA –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Section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for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Operational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Research, 2021, 519-524</w:t>
            </w:r>
          </w:p>
          <w:p w14:paraId="07044F8B" w14:textId="2BEACC6D" w:rsidR="00B37E13" w:rsidRPr="008B1F2D" w:rsidRDefault="00B37E13" w:rsidP="00F6427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Smiljanić, A.R., Perić, B.Š. (2022). </w:t>
            </w: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Foreign-Owned Banks and Real Estate Markets in Croatia: A Panel Data Analysis. In: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Olgić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Draženović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Buterin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V.,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Suljić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Nikolaj, S. (eds) Real and Financial Sectors in Post-Pandemic Central and Eastern Europe. Contributions to Economics. Springer, Cham. </w:t>
            </w:r>
            <w:hyperlink r:id="rId10" w:history="1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https://doi.org/10.1007/978-3-030-99850-9_5</w:t>
              </w:r>
            </w:hyperlink>
          </w:p>
          <w:p w14:paraId="48DB6662" w14:textId="2AE0A41A" w:rsidR="00CD46A1" w:rsidRPr="008B1F2D" w:rsidRDefault="00CD46A1" w:rsidP="00CD46A1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Smiljanić,A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Kežić,I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(2022) Role of tourism and hotel accommodation in house prices, Annals of Tourism Research Empirical Insights, 3 (1),  100036, </w:t>
            </w:r>
            <w:hyperlink r:id="rId11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https://doi.org/10.1016/j.annale.2022.100036</w:t>
              </w:r>
            </w:hyperlink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.</w:t>
            </w:r>
          </w:p>
          <w:p w14:paraId="23F3A35B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Mário Centeno (2021): The recovery of the European economy in the post-pandemic context – challenges and opportunities for the financial system, </w:t>
            </w:r>
            <w:hyperlink r:id="rId12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https://www.bis.org/review/r211012h.htm</w:t>
              </w:r>
            </w:hyperlink>
          </w:p>
          <w:p w14:paraId="54CEA729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Smiljanić,A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.</w:t>
            </w:r>
            <w:proofErr w:type="gram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Kežić,I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(2021)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Utjecaj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turizma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cijene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stambenih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nekretnina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in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Družić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G.,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Šimurina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N.,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Basarac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Sertić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Mihelja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Žaja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Kordić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G. (ed)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Zbornik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radova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interkatedarskog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skupa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katedri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svijetu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punom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izazova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Zagreb,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Ekonomski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fakultet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Zagreb; Hrvatska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akademija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znanosti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umjetnosti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 </w:t>
            </w:r>
            <w:hyperlink r:id="rId13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https://dizbi.hazu.hr/a/?pr=i&amp;id=2347624</w:t>
              </w:r>
            </w:hyperlink>
          </w:p>
          <w:p w14:paraId="16EFA637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r w:rsidRPr="008B1F2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Belton D, </w:t>
            </w:r>
            <w:proofErr w:type="spellStart"/>
            <w:r w:rsidRPr="008B1F2D">
              <w:rPr>
                <w:rFonts w:ascii="Times New Roman" w:hAnsi="Times New Roman"/>
                <w:sz w:val="18"/>
                <w:szCs w:val="18"/>
                <w:lang w:val="en-US"/>
              </w:rPr>
              <w:t>Gambacorta</w:t>
            </w:r>
            <w:proofErr w:type="spellEnd"/>
            <w:r w:rsidRPr="008B1F2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L, </w:t>
            </w:r>
            <w:proofErr w:type="spellStart"/>
            <w:r w:rsidRPr="008B1F2D">
              <w:rPr>
                <w:rFonts w:ascii="Times New Roman" w:hAnsi="Times New Roman"/>
                <w:sz w:val="18"/>
                <w:szCs w:val="18"/>
                <w:lang w:val="en-US"/>
              </w:rPr>
              <w:t>Kokas</w:t>
            </w:r>
            <w:proofErr w:type="spellEnd"/>
            <w:r w:rsidRPr="008B1F2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S, </w:t>
            </w:r>
            <w:proofErr w:type="spellStart"/>
            <w:r w:rsidRPr="008B1F2D">
              <w:rPr>
                <w:rFonts w:ascii="Times New Roman" w:hAnsi="Times New Roman"/>
                <w:sz w:val="18"/>
                <w:szCs w:val="18"/>
                <w:lang w:val="en-US"/>
              </w:rPr>
              <w:t>Minetti</w:t>
            </w:r>
            <w:proofErr w:type="spellEnd"/>
            <w:r w:rsidRPr="008B1F2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R (2021) Foreign Banks, Liquidity Shocks, and Credit Stability. Rev Corp Finance Stud Published online October 2021. doi:10.1093/</w:t>
            </w:r>
            <w:proofErr w:type="spellStart"/>
            <w:r w:rsidRPr="008B1F2D">
              <w:rPr>
                <w:rFonts w:ascii="Times New Roman" w:hAnsi="Times New Roman"/>
                <w:sz w:val="18"/>
                <w:szCs w:val="18"/>
                <w:lang w:val="en-US"/>
              </w:rPr>
              <w:t>rcfs</w:t>
            </w:r>
            <w:proofErr w:type="spellEnd"/>
            <w:r w:rsidRPr="008B1F2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/cfab020. </w:t>
            </w:r>
          </w:p>
          <w:p w14:paraId="02C8490D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Koumpias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AM, Martínez-Vázquez J, Sanz-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Arcega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E. (2021) Housing bubbles and land planning corruption: evidence from Spain’s largest municipalities. Appl Econ Anal. </w:t>
            </w:r>
            <w:proofErr w:type="gram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2021;ahead</w:t>
            </w:r>
            <w:proofErr w:type="gram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-of-print(ahead-of-print). doi:10.1108/AEA-11-2020-0159</w:t>
            </w:r>
          </w:p>
          <w:p w14:paraId="58A72C9F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Smiljanić Rimac, A. (2021) Derivatives Markets Development and Country Political Risk, SOR '21 proceedings : the 16th International Symposium on Operational Research in Slovenia 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Drobne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S. ;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Zadnik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Stirn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Lidija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;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Kljajić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Borštnar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Mirjana. ;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Povh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Janez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;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Žerovnik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Janez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ur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.), </w:t>
            </w:r>
            <w:hyperlink r:id="rId14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http://fgg-web.fgg.uni-lj.si/~/sdrobne/sor/SOR'21%20-%20Proceedings.pdf</w:t>
              </w:r>
            </w:hyperlink>
          </w:p>
          <w:p w14:paraId="2067B2BF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Adrian (2021) The Future of Finance and the Global Economy: Facing Global Forces, Shaping Global Solutions, </w:t>
            </w:r>
            <w:hyperlink r:id="rId15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https://www.imf.org/en/News/Articles/2021/09/27/sp092721-the-future-of-finance-and-the-global-economy?utm_medium=email&amp;utm_source=govdelivery</w:t>
              </w:r>
            </w:hyperlink>
          </w:p>
          <w:p w14:paraId="454111D8" w14:textId="07E45B90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Pepur, S., Rimac Smiljanić, A.,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Vukava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I. (2021) Mirovinska pismenost studenata i formalna financijska edukacija (Student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Pension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Literacy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Formal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Financial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Education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),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in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Družić, G.,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Šimurina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N.,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Basarac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Sertić, M.,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Mihelja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Žaja, M., Kordić, G. (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ed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) Zbornik radova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interkatedarskog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skupa katedri za financije: Financije u svijetu punom izazova. Zagreb, Ekonomski fakultet Zagreb; Hrvatska akademija znanosti i umjetnosti, 2021, </w:t>
            </w:r>
            <w:hyperlink r:id="rId16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</w:rPr>
                <w:t>https://dizbi.hazu.hr/a/?pr=i&amp;id=2347453</w:t>
              </w:r>
            </w:hyperlink>
          </w:p>
          <w:p w14:paraId="6C5657BE" w14:textId="61646990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Bulog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I.,Bakotić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D., Rimac Smiljanić, A, (2021) Financijska pismenost i poduzetničke intencije studenata u Hrvatskoj (Financial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Literacy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Entrepreneurial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Intentions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Students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in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Croatia),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in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Družić, G.,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Šimurina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N.,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Basarac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Sertić, M.,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Mihelja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Žaja, M., Kordić, G. (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ed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) Zbornik radova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>interkatedarskog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skupa katedri za financije: Financije u svijetu punom izazova. Zagreb, Ekonomski fakultet Zagreb; Hrvatska akademija znanosti i umjetnosti, 2021, </w:t>
            </w:r>
            <w:hyperlink r:id="rId17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</w:rPr>
                <w:t>https://dizbi.hazu.hr/a/?pr=i&amp;id=2347472</w:t>
              </w:r>
            </w:hyperlink>
          </w:p>
          <w:p w14:paraId="477110C7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Tran Hung Son, Nguyen Thanh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Liem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Nguyen Vinh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Khuong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, Robin H. Luo (2020) Corruption, nonperforming loans, and economic growth: International evidence, Cogent Business &amp; Management, 7:1, DOI: 10.1080/23311975.2020.1735691</w:t>
            </w:r>
          </w:p>
          <w:p w14:paraId="579D8CC4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Erenm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Wooldridge (2021) Non - bank financial institutions and the functioning of government bond markets, </w:t>
            </w:r>
            <w:hyperlink r:id="rId18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https://www.bis.org/publ/bppdf/bispap119.htm</w:t>
              </w:r>
            </w:hyperlink>
          </w:p>
          <w:p w14:paraId="522E1950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Bhansali (2021.) The Incredible Upside-Down Fixed-Income Market Negative Interest Rates and Their Implications, CFA Institute, </w:t>
            </w:r>
            <w:hyperlink r:id="rId19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https://www.cfainstitute.org/en/research/foundation/2021/negative-interest-rates</w:t>
              </w:r>
            </w:hyperlink>
          </w:p>
          <w:p w14:paraId="4D8DF14C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Ignazio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Visco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(2021) The crisis management framework for banks in the EU. How can we deal with the crisis of small and medium-sized banks? </w:t>
            </w:r>
            <w:hyperlink r:id="rId20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https://www.bis.org/review/r210211h.htm</w:t>
              </w:r>
            </w:hyperlink>
          </w:p>
          <w:p w14:paraId="596EC547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Sirio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Aramonte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Andreas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Schrimpf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Hyun Song Shin (2021) Non-bank financial intermediaries and financial stability, </w:t>
            </w:r>
            <w:hyperlink r:id="rId21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https://www.bis.org/publ/work972.htm</w:t>
              </w:r>
            </w:hyperlink>
          </w:p>
          <w:p w14:paraId="09931860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Ugo Panizza, (2021) State-Owned Commercial Banks," IHEID Working Papers 09-2021, Economics Section, The Graduate Institute of International Studies, </w:t>
            </w:r>
            <w:hyperlink r:id="rId22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https://ideas.repec.org/p/gii/giihei/heidwp09-2021.html</w:t>
              </w:r>
            </w:hyperlink>
          </w:p>
          <w:p w14:paraId="6B1ADDB5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Shen (2021) Global Banking and Firm Financing: A Double Adverse Selection Channel of International Transmission, </w:t>
            </w:r>
            <w:hyperlink r:id="rId23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https://www.federalreserve.gov/econres/ifdp/files/ifdp1325.pdf</w:t>
              </w:r>
            </w:hyperlink>
          </w:p>
          <w:p w14:paraId="00B869DC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Niţoi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M.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Clichici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D.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Moagăr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-Poladian S (2021) Foreign Banks in Central and Eastern Europe: The Good, the Bad and the Ugly.  Prague Economic Papers. Prague University of Economics and Business. (5): 596-612., </w:t>
            </w:r>
            <w:hyperlink r:id="rId24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https://pep.vse.cz/artkey/pep-202105-0005_foreign-banks-in-central-and-eastern-europe-the-good-the-bad-and-the-ugly.php</w:t>
              </w:r>
            </w:hyperlink>
          </w:p>
          <w:p w14:paraId="3DC1CF33" w14:textId="77777777" w:rsidR="00CD46A1" w:rsidRPr="008B1F2D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Pepur, S, Rimac Smiljanić, A.,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Vukava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, I (2019)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Potiču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li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financijska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znanja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planiranje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za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mirovinu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? </w:t>
            </w:r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(Do Financial Knowledge Encourage Retirement Planning?) in Rimac Smiljanić, A.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Šimić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Šarić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Visković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J.(ed.)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Financijska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kretanja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najnoviji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događaji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perspektive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Sveučilište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Splitu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Ekonomski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fakultet</w:t>
            </w:r>
            <w:proofErr w:type="spellEnd"/>
            <w:r w:rsidRPr="008B1F2D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Split, 2019. pp. 323-349, </w:t>
            </w:r>
            <w:hyperlink r:id="rId25">
              <w:r w:rsidRPr="008B1F2D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https://bib.irb.hr/datoteka/1045675.Financijska_kretanja_najnoviji_dogaaji_i_perspektive_znanstvena_e-knjiga_1.pdf</w:t>
              </w:r>
            </w:hyperlink>
          </w:p>
          <w:p w14:paraId="4F36ACCC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z w:val="20"/>
                <w:szCs w:val="20"/>
              </w:rPr>
              <w:t xml:space="preserve">Allen, F.,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Jackowicz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K.,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Kowalewski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O.,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Kozłowski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Ł., (2017.) Bank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lending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crises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changing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ownership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structure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Central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Eastern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European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countries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. J. Corp.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42, 494–515. </w:t>
            </w:r>
            <w:hyperlink r:id="rId26">
              <w:r w:rsidRPr="008B1F2D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https://doi.org/10.1016/j.jcorpfin.2015.05.001</w:t>
              </w:r>
            </w:hyperlink>
          </w:p>
          <w:p w14:paraId="7F8FE82B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Arakelyan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M., 2018.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Banks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Credit Dynamics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CESEE (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No. No. 18/3), IMF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ECAC690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Ashraf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B.N.,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Arshad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S., (2017).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bank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subsidiaries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risk-taking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behavior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Impact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home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host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country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national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culture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Res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Int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. Bus.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41, 318–335. </w:t>
            </w:r>
            <w:hyperlink r:id="rId27">
              <w:r w:rsidRPr="008B1F2D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https://doi.org/10.1016/j.ribaf.2017.04.039</w:t>
              </w:r>
            </w:hyperlink>
          </w:p>
          <w:p w14:paraId="54304F6A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B.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Eichengreen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A. Rose (1998) "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Staying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Afloat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When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the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Wind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Changes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: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External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Factors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Emerging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-Market Banking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Crises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” NBER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Working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Paper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6730,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January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C636BD3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z w:val="20"/>
                <w:szCs w:val="20"/>
              </w:rPr>
              <w:t xml:space="preserve">Beck, A.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Demirguc-Kunt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R. Levine (2002) "Bank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Concentration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Crisis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" World Bank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</w:p>
          <w:p w14:paraId="6D2C6114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Demirguc-Kunt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A.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Levine, R. (2001) Financial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Structure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Economic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Growth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>: A Cross-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Country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Comparison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Banks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Markets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Development, MIT Press</w:t>
            </w:r>
          </w:p>
          <w:p w14:paraId="5A953DE4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Kraft,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Payne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Hofler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(2006) "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Privatization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Foreign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Bank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Entry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Bank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Efficiency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in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Croatia: A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Fourier-Flexible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Stochastic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Frontier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Analysis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" Applied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Economics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Volume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38, 2006, p. 2075-2088.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With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James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Payne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Richard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Hofler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.</w:t>
            </w:r>
          </w:p>
          <w:p w14:paraId="2A7436F6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Giese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>, J.,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Haldane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A. (2020.) COVID-19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financial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system: a tale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two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crises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Oxford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Economic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Policy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Volume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36,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Issue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Supplement_1, 2020, pp.200–S214.. </w:t>
            </w:r>
            <w:hyperlink r:id="rId28">
              <w:r w:rsidRPr="008B1F2D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https://doi.org/10.1016/j.irfa.2015.11.010</w:t>
              </w:r>
            </w:hyperlink>
          </w:p>
          <w:p w14:paraId="476D3AC2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z w:val="20"/>
                <w:szCs w:val="20"/>
              </w:rPr>
              <w:t xml:space="preserve">Kutlu, E. (2018): Financial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literacy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among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university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students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: A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study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eight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European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countries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International Journal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Costumers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Study,Vol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42, str. 2-15, </w:t>
            </w:r>
            <w:hyperlink r:id="rId29">
              <w:r w:rsidRPr="008B1F2D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https://doi.org/10.1111/ijcs.12408</w:t>
              </w:r>
            </w:hyperlink>
          </w:p>
          <w:p w14:paraId="4473F194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Pepur, S, Rimac Smiljanić,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Vukava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, I. (2020.). Mirovinska pismenost studenata i formalno financijsko obrazovanje studenata, rad u pripremi</w:t>
            </w:r>
          </w:p>
          <w:p w14:paraId="2F079116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Pepur, S., Rimac Smiljanić, A.,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Vukava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, I. (2019), Potiču li financijska znanja planiranje za mirovinu? u: Financijska kretanja – najnoviji događaji  perspektive, Rimac Smiljanić, A., Šimić Šarić, M., Visković, J., Ekonomski fakultet Sveučilišta u Splitu, Splitu,  str. 323.-349.</w:t>
            </w:r>
          </w:p>
          <w:p w14:paraId="5055B60F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R. Clarke, R.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Cull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, Martinez-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Peria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S. Sanchez (2001), "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Foreign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bank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entry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: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Experiences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r w:rsidRPr="008B1F2D">
              <w:tab/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Implications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for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Developing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Countries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Agenda for Future Research" World Bank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Working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Paper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2698</w:t>
            </w:r>
          </w:p>
          <w:p w14:paraId="033638B7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z w:val="20"/>
                <w:szCs w:val="20"/>
              </w:rPr>
              <w:t xml:space="preserve">R. King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R. Levine (1993), "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Growth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: Schumpeter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Might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be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Right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",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Quarterly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B1F2D">
              <w:tab/>
            </w:r>
            <w:r w:rsidRPr="008B1F2D">
              <w:rPr>
                <w:rFonts w:ascii="Times New Roman" w:hAnsi="Times New Roman"/>
                <w:sz w:val="20"/>
                <w:szCs w:val="20"/>
              </w:rPr>
              <w:t xml:space="preserve">Journal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Economics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108(3) 1993</w:t>
            </w:r>
          </w:p>
          <w:p w14:paraId="522A8119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z w:val="20"/>
                <w:szCs w:val="20"/>
              </w:rPr>
              <w:t>R. Levine (2002), "Bank-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based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market-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based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Financial Systems: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Which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is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Better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?", NBER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9138</w:t>
            </w:r>
          </w:p>
          <w:p w14:paraId="43A773E7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Rimac Smiljanić, A. (2011). Cijene imovine, percepcija sustavnog rizika i financijska stabilnost, doktorska disertacija, Ekonomski fakultet u Splitu.</w:t>
            </w:r>
          </w:p>
          <w:p w14:paraId="0A162AE8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z w:val="20"/>
                <w:szCs w:val="20"/>
              </w:rPr>
              <w:t>Rimac Smiljanić, A., Pepur, S., Karadža, S. (2014.): Krediti razvojne banke i performanse SME u uvjetima financijske krize, Financije nakon krize: Forenzika, etika i održivost, (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>. Ćurak, M., Kundid, A., Visković, J.), EFST</w:t>
            </w:r>
          </w:p>
          <w:p w14:paraId="0F78AC6C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z w:val="20"/>
                <w:szCs w:val="20"/>
              </w:rPr>
              <w:t xml:space="preserve">Rimac Smiljanić, A., Pepur, S.;, Matković, K. (2012), Financijska kriza, povezano kreditiranje i eksterno financiranje SME sektora, u Mala i srednja poduzeća financijska politika i financijsko ekonomski okvir podrške, prof. dr. sc. Ljiljana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Vidučić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>.).</w:t>
            </w:r>
          </w:p>
          <w:p w14:paraId="237B702C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z w:val="20"/>
                <w:szCs w:val="20"/>
              </w:rPr>
              <w:t xml:space="preserve">Split: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Ekonomksi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fakultet u Splitu, 2012. str. 179-204.</w:t>
            </w:r>
          </w:p>
          <w:p w14:paraId="518AFFA8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Škrabić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Perić, B., Rimac Smiljanić, A.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Aljinović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Z. (2018.): Credit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risk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subsidiaries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banks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CEE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countries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Impacts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parent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bank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home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country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economic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environment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North American Journal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Economics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Available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online 11 April 2018, </w:t>
            </w:r>
            <w:hyperlink r:id="rId30">
              <w:r w:rsidRPr="008B1F2D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https://doi.org/10.1016/j.najef.2018.03.009</w:t>
              </w:r>
            </w:hyperlink>
          </w:p>
          <w:p w14:paraId="5C7EA84C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Temesvary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, J.,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Banai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, A., 2017.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The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drivers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foreign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bank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lending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in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Central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Eastern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Europe: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The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roles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of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parent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subsidiary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host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market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traits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. J.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Int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. Money </w:t>
            </w:r>
            <w:proofErr w:type="spellStart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>Finance</w:t>
            </w:r>
            <w:proofErr w:type="spellEnd"/>
            <w:r w:rsidRPr="008B1F2D">
              <w:rPr>
                <w:rFonts w:ascii="Times New Roman" w:hAnsi="Times New Roman"/>
                <w:strike/>
                <w:sz w:val="20"/>
                <w:szCs w:val="20"/>
              </w:rPr>
              <w:t xml:space="preserve"> 79, 157–173. </w:t>
            </w:r>
            <w:hyperlink r:id="rId31">
              <w:r w:rsidRPr="008B1F2D">
                <w:rPr>
                  <w:rStyle w:val="Hiperveza"/>
                  <w:rFonts w:ascii="Times New Roman" w:hAnsi="Times New Roman"/>
                  <w:strike/>
                  <w:color w:val="auto"/>
                  <w:sz w:val="20"/>
                  <w:szCs w:val="20"/>
                </w:rPr>
                <w:t>https://doi.org/10.1016/j.jimonfin.2017.08.005</w:t>
              </w:r>
            </w:hyperlink>
          </w:p>
          <w:p w14:paraId="020B4467" w14:textId="77777777" w:rsidR="00CD46A1" w:rsidRPr="008B1F2D" w:rsidRDefault="00CD46A1" w:rsidP="00CD46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z w:val="20"/>
                <w:szCs w:val="20"/>
              </w:rPr>
              <w:t xml:space="preserve">World Bank (2018): Global Financial Development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Report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2017/2018 :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Bankers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without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Borders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1F2D">
              <w:rPr>
                <w:rFonts w:ascii="Times New Roman" w:hAnsi="Times New Roman"/>
                <w:sz w:val="20"/>
                <w:szCs w:val="20"/>
              </w:rPr>
              <w:t>Wolrl</w:t>
            </w:r>
            <w:proofErr w:type="spellEnd"/>
            <w:r w:rsidRPr="008B1F2D">
              <w:rPr>
                <w:rFonts w:ascii="Times New Roman" w:hAnsi="Times New Roman"/>
                <w:sz w:val="20"/>
                <w:szCs w:val="20"/>
              </w:rPr>
              <w:t xml:space="preserve"> Bank, </w:t>
            </w:r>
            <w:hyperlink r:id="rId32">
              <w:r w:rsidRPr="008B1F2D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https://openknowledge.worldbank.org/handle/10986/28482?show=full</w:t>
              </w:r>
            </w:hyperlink>
          </w:p>
          <w:p w14:paraId="054BE043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z w:val="20"/>
                <w:szCs w:val="20"/>
                <w:lang w:val="en"/>
              </w:rPr>
              <w:t xml:space="preserve">News, cases and data from the Bank for International Settlements portal https://www.bis.org/ </w:t>
            </w:r>
          </w:p>
          <w:p w14:paraId="4AE730B3" w14:textId="77777777" w:rsidR="00CD46A1" w:rsidRPr="008B1F2D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z w:val="20"/>
                <w:szCs w:val="20"/>
                <w:lang w:val="en"/>
              </w:rPr>
              <w:t xml:space="preserve">News, cases and data from the World Bank portal https://www.Worldbank.org </w:t>
            </w:r>
          </w:p>
          <w:p w14:paraId="13A3D16B" w14:textId="22442301" w:rsidR="00CD46A1" w:rsidRPr="008B1F2D" w:rsidRDefault="00CD46A1" w:rsidP="00CD46A1">
            <w:pPr>
              <w:rPr>
                <w:rFonts w:ascii="Times New Roman" w:hAnsi="Times New Roman"/>
                <w:sz w:val="20"/>
                <w:szCs w:val="20"/>
              </w:rPr>
            </w:pPr>
            <w:r w:rsidRPr="008B1F2D">
              <w:rPr>
                <w:rFonts w:ascii="Times New Roman" w:hAnsi="Times New Roman"/>
                <w:sz w:val="20"/>
                <w:szCs w:val="20"/>
                <w:lang w:val="en"/>
              </w:rPr>
              <w:t>News, cases and data from the International Monetary Fund portal, www.imf.org</w:t>
            </w:r>
          </w:p>
        </w:tc>
      </w:tr>
      <w:tr w:rsidR="00CD46A1" w:rsidRPr="00E72FB4" w14:paraId="53F4421D" w14:textId="77777777" w:rsidTr="6D3EC6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CD46A1" w:rsidRPr="00E72FB4" w:rsidRDefault="00CD46A1" w:rsidP="00CD46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D46A1" w:rsidRPr="00E72FB4" w14:paraId="3390F251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CD46A1" w:rsidRPr="00E72FB4" w:rsidRDefault="00CD46A1" w:rsidP="00CD46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0DF9E56" w14:textId="77777777" w:rsidR="00105D25" w:rsidRPr="00E72FB4" w:rsidRDefault="00105D25">
      <w:pPr>
        <w:rPr>
          <w:color w:val="000000" w:themeColor="text1"/>
        </w:rPr>
      </w:pPr>
    </w:p>
    <w:sectPr w:rsidR="00105D25" w:rsidRPr="00E72FB4" w:rsidSect="00105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60857" w14:textId="77777777" w:rsidR="009E3A48" w:rsidRDefault="009E3A48" w:rsidP="005A5A21">
      <w:pPr>
        <w:spacing w:after="0" w:line="240" w:lineRule="auto"/>
      </w:pPr>
      <w:r>
        <w:separator/>
      </w:r>
    </w:p>
  </w:endnote>
  <w:endnote w:type="continuationSeparator" w:id="0">
    <w:p w14:paraId="07927FB2" w14:textId="77777777" w:rsidR="009E3A48" w:rsidRDefault="009E3A48" w:rsidP="005A5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6D6D5" w14:textId="77777777" w:rsidR="009E3A48" w:rsidRDefault="009E3A48" w:rsidP="005A5A21">
      <w:pPr>
        <w:spacing w:after="0" w:line="240" w:lineRule="auto"/>
      </w:pPr>
      <w:r>
        <w:separator/>
      </w:r>
    </w:p>
  </w:footnote>
  <w:footnote w:type="continuationSeparator" w:id="0">
    <w:p w14:paraId="5C824C62" w14:textId="77777777" w:rsidR="009E3A48" w:rsidRDefault="009E3A48" w:rsidP="005A5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45B32"/>
    <w:multiLevelType w:val="hybridMultilevel"/>
    <w:tmpl w:val="B37E67D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23678"/>
    <w:multiLevelType w:val="hybridMultilevel"/>
    <w:tmpl w:val="B202AEC0"/>
    <w:lvl w:ilvl="0" w:tplc="91747BD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6A9C3AB5"/>
    <w:multiLevelType w:val="hybridMultilevel"/>
    <w:tmpl w:val="44DAEFA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C1656EC"/>
    <w:multiLevelType w:val="hybridMultilevel"/>
    <w:tmpl w:val="CC50D854"/>
    <w:lvl w:ilvl="0" w:tplc="78D0523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A500E7"/>
    <w:multiLevelType w:val="hybridMultilevel"/>
    <w:tmpl w:val="43E897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A21"/>
    <w:rsid w:val="000234A5"/>
    <w:rsid w:val="000B6D73"/>
    <w:rsid w:val="00105D25"/>
    <w:rsid w:val="0013779A"/>
    <w:rsid w:val="001646DC"/>
    <w:rsid w:val="00196171"/>
    <w:rsid w:val="002176CE"/>
    <w:rsid w:val="00217C4A"/>
    <w:rsid w:val="002A6EBC"/>
    <w:rsid w:val="002D6795"/>
    <w:rsid w:val="002D76D0"/>
    <w:rsid w:val="00352501"/>
    <w:rsid w:val="00365840"/>
    <w:rsid w:val="003C42B9"/>
    <w:rsid w:val="003D6E24"/>
    <w:rsid w:val="003F4C12"/>
    <w:rsid w:val="00432D02"/>
    <w:rsid w:val="00456822"/>
    <w:rsid w:val="004A5F75"/>
    <w:rsid w:val="004C208A"/>
    <w:rsid w:val="004C2BF7"/>
    <w:rsid w:val="004D12EB"/>
    <w:rsid w:val="004E3974"/>
    <w:rsid w:val="0051737C"/>
    <w:rsid w:val="0054655F"/>
    <w:rsid w:val="00547AB9"/>
    <w:rsid w:val="00550031"/>
    <w:rsid w:val="005A5A21"/>
    <w:rsid w:val="005B6B03"/>
    <w:rsid w:val="005C2B6C"/>
    <w:rsid w:val="005C71DE"/>
    <w:rsid w:val="006223AC"/>
    <w:rsid w:val="00640ED4"/>
    <w:rsid w:val="006D6AE1"/>
    <w:rsid w:val="00707410"/>
    <w:rsid w:val="00746970"/>
    <w:rsid w:val="007A6C06"/>
    <w:rsid w:val="00844B4A"/>
    <w:rsid w:val="00850C48"/>
    <w:rsid w:val="008B1F2D"/>
    <w:rsid w:val="008D7118"/>
    <w:rsid w:val="00933B3E"/>
    <w:rsid w:val="00964C88"/>
    <w:rsid w:val="009E3A48"/>
    <w:rsid w:val="00A32266"/>
    <w:rsid w:val="00AC74EA"/>
    <w:rsid w:val="00B35FE5"/>
    <w:rsid w:val="00B37E13"/>
    <w:rsid w:val="00B62740"/>
    <w:rsid w:val="00B96562"/>
    <w:rsid w:val="00BE15D4"/>
    <w:rsid w:val="00BE3D80"/>
    <w:rsid w:val="00C14F45"/>
    <w:rsid w:val="00CD46A1"/>
    <w:rsid w:val="00D044E4"/>
    <w:rsid w:val="00D120A9"/>
    <w:rsid w:val="00D168F6"/>
    <w:rsid w:val="00D94776"/>
    <w:rsid w:val="00DC17EB"/>
    <w:rsid w:val="00DC3548"/>
    <w:rsid w:val="00DF01C4"/>
    <w:rsid w:val="00E047A1"/>
    <w:rsid w:val="00E524CD"/>
    <w:rsid w:val="00E63012"/>
    <w:rsid w:val="00E72FB4"/>
    <w:rsid w:val="00F64276"/>
    <w:rsid w:val="00F70FE4"/>
    <w:rsid w:val="00FC5380"/>
    <w:rsid w:val="6D3EC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903F"/>
  <w15:docId w15:val="{F6C13227-D8EE-402D-A76B-38C70D7E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A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A5A21"/>
    <w:pPr>
      <w:ind w:left="720"/>
      <w:contextualSpacing/>
    </w:pPr>
  </w:style>
  <w:style w:type="paragraph" w:customStyle="1" w:styleId="FieldText">
    <w:name w:val="Field Text"/>
    <w:basedOn w:val="Normal"/>
    <w:rsid w:val="005A5A2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5A5A21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A5A2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A5A21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DC17EB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3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34A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zbi.hazu.hr/a/?pr=i&amp;id=2347624" TargetMode="External"/><Relationship Id="rId18" Type="http://schemas.openxmlformats.org/officeDocument/2006/relationships/hyperlink" Target="https://www.bis.org/publ/bppdf/bispap119.htm" TargetMode="External"/><Relationship Id="rId26" Type="http://schemas.openxmlformats.org/officeDocument/2006/relationships/hyperlink" Target="https://doi.org/10.1016/j.jcorpfin.2015.05.0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bis.org/publ/work972.htm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bis.org/review/r211012h.htm" TargetMode="External"/><Relationship Id="rId17" Type="http://schemas.openxmlformats.org/officeDocument/2006/relationships/hyperlink" Target="https://dizbi.hazu.hr/a/?pr=i&amp;id=2347472" TargetMode="External"/><Relationship Id="rId25" Type="http://schemas.openxmlformats.org/officeDocument/2006/relationships/hyperlink" Target="https://bib.irb.hr/datoteka/1045675.Financijska_kretanja_najnoviji_dogaaji_i_perspektive_znanstvena_e-knjiga_1.pdf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izbi.hazu.hr/a/?pr=i&amp;id=2347453" TargetMode="External"/><Relationship Id="rId20" Type="http://schemas.openxmlformats.org/officeDocument/2006/relationships/hyperlink" Target="https://www.bis.org/review/r210211h.htm" TargetMode="External"/><Relationship Id="rId29" Type="http://schemas.openxmlformats.org/officeDocument/2006/relationships/hyperlink" Target="https://doi.org/10.1111/ijcs.12408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016/j.annale.2022.100036" TargetMode="External"/><Relationship Id="rId24" Type="http://schemas.openxmlformats.org/officeDocument/2006/relationships/hyperlink" Target="https://pep.vse.cz/artkey/pep-202105-0005_foreign-banks-in-central-and-eastern-europe-the-good-the-bad-and-the-ugly.php" TargetMode="External"/><Relationship Id="rId32" Type="http://schemas.openxmlformats.org/officeDocument/2006/relationships/hyperlink" Target="https://openknowledge.worldbank.org/handle/10986/28482?show=full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mf.org/en/News/Articles/2021/09/27/sp092721-the-future-of-finance-and-the-global-economy?utm_medium=email&amp;utm_source=govdelivery" TargetMode="External"/><Relationship Id="rId23" Type="http://schemas.openxmlformats.org/officeDocument/2006/relationships/hyperlink" Target="https://www.federalreserve.gov/econres/ifdp/files/ifdp1325.pdf" TargetMode="External"/><Relationship Id="rId28" Type="http://schemas.openxmlformats.org/officeDocument/2006/relationships/hyperlink" Target="https://doi.org/10.1016/j.irfa.2015.11.010" TargetMode="External"/><Relationship Id="rId10" Type="http://schemas.openxmlformats.org/officeDocument/2006/relationships/hyperlink" Target="https://doi.org/10.1007/978-3-030-99850-9_5" TargetMode="External"/><Relationship Id="rId19" Type="http://schemas.openxmlformats.org/officeDocument/2006/relationships/hyperlink" Target="https://www.cfainstitute.org/en/research/foundation/2021/negative-interest-rates" TargetMode="External"/><Relationship Id="rId31" Type="http://schemas.openxmlformats.org/officeDocument/2006/relationships/hyperlink" Target="https://doi.org/10.1016/j.jimonfin.2017.08.00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fgg-web.fgg.uni-lj.si/~/sdrobne/sor/SOR'21%20-%20Proceedings.pdf" TargetMode="External"/><Relationship Id="rId22" Type="http://schemas.openxmlformats.org/officeDocument/2006/relationships/hyperlink" Target="https://ideas.repec.org/p/gii/giihei/heidwp09-2021.html" TargetMode="External"/><Relationship Id="rId27" Type="http://schemas.openxmlformats.org/officeDocument/2006/relationships/hyperlink" Target="https://doi.org/10.1016/j.ribaf.2017.04.039" TargetMode="External"/><Relationship Id="rId30" Type="http://schemas.openxmlformats.org/officeDocument/2006/relationships/hyperlink" Target="https://doi.org/10.1016/j.najef.2018.03.009" TargetMode="Externa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6251A1FF4A3D4F99E82E4F523EAF69" ma:contentTypeVersion="16" ma:contentTypeDescription="Stvaranje novog dokumenta." ma:contentTypeScope="" ma:versionID="17d3d26e771fefefeede40536e0669d5">
  <xsd:schema xmlns:xsd="http://www.w3.org/2001/XMLSchema" xmlns:xs="http://www.w3.org/2001/XMLSchema" xmlns:p="http://schemas.microsoft.com/office/2006/metadata/properties" xmlns:ns3="7b46dff0-73aa-489b-b9cb-070e52fbf017" xmlns:ns4="802253c2-2e9e-4e8a-9aa7-de140808d551" targetNamespace="http://schemas.microsoft.com/office/2006/metadata/properties" ma:root="true" ma:fieldsID="f70daaa101ddebc2064f1d1f283f5187" ns3:_="" ns4:_="">
    <xsd:import namespace="7b46dff0-73aa-489b-b9cb-070e52fbf017"/>
    <xsd:import namespace="802253c2-2e9e-4e8a-9aa7-de140808d5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6dff0-73aa-489b-b9cb-070e52fbf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2253c2-2e9e-4e8a-9aa7-de140808d55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b46dff0-73aa-489b-b9cb-070e52fbf017" xsi:nil="true"/>
  </documentManagement>
</p:properties>
</file>

<file path=customXml/itemProps1.xml><?xml version="1.0" encoding="utf-8"?>
<ds:datastoreItem xmlns:ds="http://schemas.openxmlformats.org/officeDocument/2006/customXml" ds:itemID="{BB92964C-8FAC-47C3-8532-B83070C2D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EA802-DC1A-4147-BDA2-B440EC2B4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6dff0-73aa-489b-b9cb-070e52fbf017"/>
    <ds:schemaRef ds:uri="802253c2-2e9e-4e8a-9aa7-de140808d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9B4E33-3D62-4BCC-A321-F7B13505F297}">
  <ds:schemaRefs>
    <ds:schemaRef ds:uri="http://schemas.microsoft.com/office/2006/metadata/properties"/>
    <ds:schemaRef ds:uri="http://schemas.microsoft.com/office/infopath/2007/PartnerControls"/>
    <ds:schemaRef ds:uri="7b46dff0-73aa-489b-b9cb-070e52fbf0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2819</Words>
  <Characters>16070</Characters>
  <Application>Microsoft Office Word</Application>
  <DocSecurity>0</DocSecurity>
  <Lines>133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2018-10-09T12:10:00Z</cp:lastPrinted>
  <dcterms:created xsi:type="dcterms:W3CDTF">2025-09-04T06:20:00Z</dcterms:created>
  <dcterms:modified xsi:type="dcterms:W3CDTF">2025-10-24T13:15:00Z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0x010100046251A1FF4A3D4F99E82E4F523EAF69</vt:lpwstr>
  </property>
</Properties>
</file>